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04E" w:rsidRDefault="005C204E" w:rsidP="005C204E">
      <w:pPr>
        <w:pStyle w:val="Nagwek2"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Karta modułu / przedmiotu</w:t>
      </w:r>
    </w:p>
    <w:p w:rsidR="00705E05" w:rsidRPr="00A432A6" w:rsidRDefault="00705E05" w:rsidP="005C204E">
      <w:pPr>
        <w:pStyle w:val="Nagwek2"/>
        <w:ind w:firstLine="0"/>
        <w:rPr>
          <w:color w:val="FF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705E05" w:rsidRPr="00094992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705E05" w:rsidRPr="00094992" w:rsidRDefault="00705E05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705E05" w:rsidRPr="00094992" w:rsidRDefault="00A432A6" w:rsidP="005C204E">
            <w:pPr>
              <w:pStyle w:val="Akapitzlist"/>
              <w:spacing w:after="200" w:line="276" w:lineRule="auto"/>
              <w:ind w:left="0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Przedmiot</w:t>
            </w:r>
            <w:r w:rsidR="005C204E">
              <w:rPr>
                <w:rFonts w:ascii="Cambria" w:hAnsi="Cambria" w:cs="Cambria"/>
                <w:b/>
                <w:bCs/>
                <w:sz w:val="24"/>
                <w:szCs w:val="24"/>
              </w:rPr>
              <w:t>y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fakultatywn</w:t>
            </w:r>
            <w:r w:rsidR="005C204E">
              <w:rPr>
                <w:rFonts w:ascii="Cambria" w:hAnsi="Cambria" w:cs="Cambr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DE018C">
              <w:rPr>
                <w:rFonts w:ascii="Cambria" w:hAnsi="Cambria" w:cs="Cambria"/>
                <w:sz w:val="24"/>
                <w:szCs w:val="24"/>
              </w:rPr>
              <w:t xml:space="preserve"> D</w:t>
            </w:r>
          </w:p>
        </w:tc>
      </w:tr>
      <w:tr w:rsidR="00705E05" w:rsidRPr="0009499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705E05" w:rsidRPr="00094992" w:rsidRDefault="00705E05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  <w:r w:rsidR="00DE018C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 </w:t>
            </w: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Poetyki czytania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DE018C">
              <w:rPr>
                <w:rFonts w:ascii="Cambria" w:hAnsi="Cambria" w:cs="Cambria"/>
                <w:sz w:val="24"/>
                <w:szCs w:val="24"/>
              </w:rPr>
              <w:t xml:space="preserve"> D/33.2</w:t>
            </w:r>
          </w:p>
        </w:tc>
      </w:tr>
      <w:tr w:rsidR="00705E05" w:rsidRPr="00094992">
        <w:trPr>
          <w:cantSplit/>
        </w:trPr>
        <w:tc>
          <w:tcPr>
            <w:tcW w:w="497" w:type="dxa"/>
            <w:vMerge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705E05" w:rsidRPr="00094992">
        <w:trPr>
          <w:cantSplit/>
        </w:trPr>
        <w:tc>
          <w:tcPr>
            <w:tcW w:w="497" w:type="dxa"/>
            <w:vMerge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705E05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 xml:space="preserve">Nazwa kierunku: </w:t>
            </w:r>
          </w:p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ilologia polska</w:t>
            </w:r>
          </w:p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05E05" w:rsidRPr="00094992">
        <w:trPr>
          <w:cantSplit/>
        </w:trPr>
        <w:tc>
          <w:tcPr>
            <w:tcW w:w="497" w:type="dxa"/>
            <w:vMerge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705E05" w:rsidRPr="005C204E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705E05" w:rsidRPr="00094992" w:rsidRDefault="0084402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705E05" w:rsidRPr="00094992" w:rsidRDefault="006D3C4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705E05" w:rsidRPr="00094992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705E05" w:rsidRPr="00094992" w:rsidRDefault="006D3C46" w:rsidP="00A432A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705E05" w:rsidRPr="00094992">
        <w:trPr>
          <w:cantSplit/>
        </w:trPr>
        <w:tc>
          <w:tcPr>
            <w:tcW w:w="497" w:type="dxa"/>
            <w:vMerge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705E05" w:rsidRPr="00094992" w:rsidRDefault="00D4132E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I-III</w:t>
            </w:r>
            <w:r w:rsidR="00705E05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 w:rsidR="00705E05"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/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1-6</w:t>
            </w:r>
          </w:p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  <w:r w:rsidR="00D4132E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705E05" w:rsidRPr="00094992">
        <w:trPr>
          <w:cantSplit/>
        </w:trPr>
        <w:tc>
          <w:tcPr>
            <w:tcW w:w="497" w:type="dxa"/>
            <w:vMerge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464" w:type="dxa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Pr="00094992"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705E05" w:rsidRPr="00094992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705E05" w:rsidRPr="00094992" w:rsidRDefault="00705E05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705E05" w:rsidRPr="0009499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705E05" w:rsidRPr="00094992" w:rsidRDefault="002B0BB4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dr</w:t>
            </w:r>
            <w:r w:rsidR="004717FA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5C204E">
              <w:rPr>
                <w:rFonts w:ascii="Cambria" w:hAnsi="Cambria" w:cs="Cambria"/>
                <w:sz w:val="24"/>
                <w:szCs w:val="24"/>
              </w:rPr>
              <w:t xml:space="preserve">hab. </w:t>
            </w:r>
            <w:r w:rsidR="00705E05" w:rsidRPr="00094992">
              <w:rPr>
                <w:rFonts w:ascii="Cambria" w:hAnsi="Cambria" w:cs="Cambria"/>
                <w:sz w:val="24"/>
                <w:szCs w:val="24"/>
              </w:rPr>
              <w:t>Mariusz Kraska</w:t>
            </w:r>
            <w:r w:rsidR="00DE018C">
              <w:rPr>
                <w:rFonts w:ascii="Cambria" w:hAnsi="Cambria" w:cs="Cambria"/>
                <w:sz w:val="24"/>
                <w:szCs w:val="24"/>
              </w:rPr>
              <w:t>, prof. uczelni</w:t>
            </w:r>
          </w:p>
        </w:tc>
      </w:tr>
      <w:tr w:rsidR="00705E05" w:rsidRPr="00094992">
        <w:tc>
          <w:tcPr>
            <w:tcW w:w="2988" w:type="dxa"/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705E05" w:rsidRPr="00094992" w:rsidRDefault="005C204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dr hab. </w:t>
            </w:r>
            <w:r w:rsidR="002B0BB4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705E05" w:rsidRPr="00094992">
              <w:rPr>
                <w:rFonts w:ascii="Cambria" w:hAnsi="Cambria" w:cs="Cambria"/>
                <w:sz w:val="24"/>
                <w:szCs w:val="24"/>
              </w:rPr>
              <w:t>Mariusz Kraska</w:t>
            </w:r>
            <w:r w:rsidR="00DE018C">
              <w:rPr>
                <w:rFonts w:ascii="Cambria" w:hAnsi="Cambria" w:cs="Cambria"/>
                <w:sz w:val="24"/>
                <w:szCs w:val="24"/>
              </w:rPr>
              <w:t>, prof. uczelni</w:t>
            </w:r>
          </w:p>
        </w:tc>
      </w:tr>
      <w:tr w:rsidR="00705E05" w:rsidRPr="00094992">
        <w:tc>
          <w:tcPr>
            <w:tcW w:w="2988" w:type="dxa"/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705E05" w:rsidRPr="00094992" w:rsidRDefault="00705E05" w:rsidP="004C0BA3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Celem zajęć jest zapoznanie studentów z problematyką odbioru dzieła literackiego i prezentacja wybranych teorii interpretacji literackiej; omówienia literatury jako autonomicznej formy komunikacji w różnych jej aspektach (estetycznym, poznawczym, etc.); doskonalenie analitycznych i interpretacyjnych kompetencji posiadanych przez studentów.</w:t>
            </w:r>
          </w:p>
        </w:tc>
      </w:tr>
      <w:tr w:rsidR="00705E05" w:rsidRPr="0009499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Student posiada wiedzę zdobytą podczas zajęć z poetyki i teorii literatury oraz analizy tekstów kultury.</w:t>
            </w:r>
          </w:p>
        </w:tc>
      </w:tr>
    </w:tbl>
    <w:p w:rsidR="00705E05" w:rsidRPr="00094992" w:rsidRDefault="00705E05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00"/>
        <w:gridCol w:w="40"/>
        <w:gridCol w:w="5760"/>
        <w:gridCol w:w="400"/>
        <w:gridCol w:w="1400"/>
      </w:tblGrid>
      <w:tr w:rsidR="00705E05" w:rsidRPr="00094992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705E05" w:rsidRPr="005C204E" w:rsidRDefault="00705E05" w:rsidP="005C204E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6D3C46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230C4E" w:rsidRPr="00094992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:rsidR="00230C4E" w:rsidRPr="00230C4E" w:rsidRDefault="00230C4E" w:rsidP="00E6595D">
            <w:pPr>
              <w:rPr>
                <w:rFonts w:ascii="Cambria" w:hAnsi="Cambria"/>
                <w:sz w:val="24"/>
                <w:szCs w:val="24"/>
              </w:rPr>
            </w:pPr>
            <w:r w:rsidRPr="00230C4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230C4E" w:rsidRPr="00230C4E" w:rsidRDefault="00230C4E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30C4E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:rsidR="00230C4E" w:rsidRPr="00230C4E" w:rsidRDefault="00230C4E" w:rsidP="00E6595D">
            <w:pPr>
              <w:jc w:val="center"/>
              <w:rPr>
                <w:sz w:val="22"/>
                <w:szCs w:val="22"/>
              </w:rPr>
            </w:pPr>
            <w:r w:rsidRPr="00230C4E">
              <w:rPr>
                <w:sz w:val="22"/>
                <w:szCs w:val="22"/>
              </w:rPr>
              <w:t xml:space="preserve">Kod kierunkowego efektu </w:t>
            </w:r>
          </w:p>
          <w:p w:rsidR="00230C4E" w:rsidRPr="00230C4E" w:rsidRDefault="00230C4E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30C4E">
              <w:rPr>
                <w:sz w:val="22"/>
                <w:szCs w:val="22"/>
              </w:rPr>
              <w:t>uczenia się</w:t>
            </w:r>
          </w:p>
        </w:tc>
      </w:tr>
      <w:tr w:rsidR="006D3C46" w:rsidRPr="00094992" w:rsidTr="00585725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:rsidR="006D3C46" w:rsidRPr="006D3C46" w:rsidRDefault="006D3C46" w:rsidP="006D3C4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1B2A35" w:rsidRPr="00094992">
        <w:trPr>
          <w:cantSplit/>
        </w:trPr>
        <w:tc>
          <w:tcPr>
            <w:tcW w:w="908" w:type="dxa"/>
            <w:vAlign w:val="center"/>
          </w:tcPr>
          <w:p w:rsidR="001B2A35" w:rsidRPr="00094992" w:rsidRDefault="00C86E3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:rsidR="001B2A35" w:rsidRPr="00A432A6" w:rsidRDefault="001B2A35" w:rsidP="001B2A35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Student identyfikuje i opisuje wybrane utwory literackie, wykorzystując stosowne instrumenty badawcze związane z zagadnieniem odbioru dzieła literackiego.</w:t>
            </w:r>
          </w:p>
        </w:tc>
        <w:tc>
          <w:tcPr>
            <w:tcW w:w="1400" w:type="dxa"/>
            <w:vAlign w:val="center"/>
          </w:tcPr>
          <w:p w:rsidR="001B2A35" w:rsidRPr="00094992" w:rsidRDefault="001B2A3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6D3C46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_W0</w:t>
            </w:r>
            <w:r w:rsidR="006D3C46">
              <w:rPr>
                <w:rFonts w:ascii="Cambria" w:hAnsi="Cambria" w:cs="Cambria"/>
                <w:sz w:val="24"/>
                <w:szCs w:val="24"/>
              </w:rPr>
              <w:t>2</w:t>
            </w:r>
          </w:p>
        </w:tc>
      </w:tr>
      <w:tr w:rsidR="001B2A35" w:rsidRPr="00094992">
        <w:trPr>
          <w:cantSplit/>
        </w:trPr>
        <w:tc>
          <w:tcPr>
            <w:tcW w:w="908" w:type="dxa"/>
            <w:vAlign w:val="center"/>
          </w:tcPr>
          <w:p w:rsidR="001B2A35" w:rsidRPr="00094992" w:rsidRDefault="00C86E3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:rsidR="001B2A35" w:rsidRPr="00A432A6" w:rsidRDefault="001B2A35" w:rsidP="001B2A35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Student opisuje miejsce i znaczenie problematyki odbioru w nauce o literaturze. Student identyfikuje terminologię z dziedziny teorii odbioru dzieła literackiego oraz charakteryzuje wybrane teorie odbioru i interpretacji dzieła literackiego.</w:t>
            </w:r>
          </w:p>
        </w:tc>
        <w:tc>
          <w:tcPr>
            <w:tcW w:w="1400" w:type="dxa"/>
            <w:vAlign w:val="center"/>
          </w:tcPr>
          <w:p w:rsidR="0015163E" w:rsidRDefault="0015163E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6D3C46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_W0</w:t>
            </w:r>
            <w:r w:rsidR="006D3C46">
              <w:rPr>
                <w:rFonts w:ascii="Cambria" w:hAnsi="Cambria" w:cs="Cambria"/>
                <w:sz w:val="24"/>
                <w:szCs w:val="24"/>
              </w:rPr>
              <w:t>2</w:t>
            </w:r>
          </w:p>
        </w:tc>
      </w:tr>
      <w:tr w:rsidR="006D3C46" w:rsidRPr="00094992" w:rsidTr="00356CF1">
        <w:trPr>
          <w:cantSplit/>
        </w:trPr>
        <w:tc>
          <w:tcPr>
            <w:tcW w:w="10008" w:type="dxa"/>
            <w:gridSpan w:val="6"/>
            <w:vAlign w:val="center"/>
          </w:tcPr>
          <w:p w:rsidR="006D3C46" w:rsidRPr="006D3C46" w:rsidRDefault="006D3C46" w:rsidP="006D3C4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705E05" w:rsidRPr="00094992">
        <w:trPr>
          <w:cantSplit/>
        </w:trPr>
        <w:tc>
          <w:tcPr>
            <w:tcW w:w="908" w:type="dxa"/>
            <w:vAlign w:val="center"/>
          </w:tcPr>
          <w:p w:rsidR="00705E05" w:rsidRPr="00094992" w:rsidRDefault="00705E05" w:rsidP="00C86E3B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lastRenderedPageBreak/>
              <w:t>0</w:t>
            </w:r>
            <w:r w:rsidR="006D3C46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:rsidR="00705E05" w:rsidRPr="00A432A6" w:rsidRDefault="00C86E3B" w:rsidP="00381A29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Samodzielnie zdobywa i selekcjonuje wiedzę z zakresu tematyki i kontekstów zajęć oraz potrafi ją wykorzystać w ramach działań profesjonalnych.</w:t>
            </w:r>
          </w:p>
        </w:tc>
        <w:tc>
          <w:tcPr>
            <w:tcW w:w="1400" w:type="dxa"/>
            <w:vAlign w:val="center"/>
          </w:tcPr>
          <w:p w:rsidR="00705E05" w:rsidRPr="00094992" w:rsidRDefault="00705E05" w:rsidP="00C86E3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K</w:t>
            </w:r>
            <w:r w:rsidR="006D3C46">
              <w:rPr>
                <w:rFonts w:ascii="Cambria" w:hAnsi="Cambria" w:cs="Cambria"/>
                <w:sz w:val="24"/>
                <w:szCs w:val="24"/>
              </w:rPr>
              <w:t>1P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_</w:t>
            </w:r>
            <w:r w:rsidR="00C86E3B">
              <w:rPr>
                <w:rFonts w:ascii="Cambria" w:hAnsi="Cambria" w:cs="Cambria"/>
                <w:sz w:val="24"/>
                <w:szCs w:val="24"/>
              </w:rPr>
              <w:t>U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0</w:t>
            </w:r>
            <w:r w:rsidR="006D3C46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705E05" w:rsidRPr="00094992">
        <w:trPr>
          <w:cantSplit/>
        </w:trPr>
        <w:tc>
          <w:tcPr>
            <w:tcW w:w="908" w:type="dxa"/>
            <w:vAlign w:val="center"/>
          </w:tcPr>
          <w:p w:rsidR="00705E05" w:rsidRPr="00094992" w:rsidRDefault="00705E05" w:rsidP="00C86E3B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0</w:t>
            </w:r>
            <w:r w:rsidR="006D3C46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:rsidR="00705E05" w:rsidRPr="00A432A6" w:rsidRDefault="001B2A35" w:rsidP="00C95D69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Student rozpoznaje i analizuje podstawowe problemy z zakresu badań nad odbiorem dzieła literackiego.</w:t>
            </w:r>
          </w:p>
        </w:tc>
        <w:tc>
          <w:tcPr>
            <w:tcW w:w="1400" w:type="dxa"/>
            <w:vAlign w:val="center"/>
          </w:tcPr>
          <w:p w:rsidR="00705E05" w:rsidRPr="00094992" w:rsidRDefault="00705E05" w:rsidP="00C86E3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K</w:t>
            </w:r>
            <w:r w:rsidR="006D3C46">
              <w:rPr>
                <w:rFonts w:ascii="Cambria" w:hAnsi="Cambria" w:cs="Cambria"/>
                <w:sz w:val="24"/>
                <w:szCs w:val="24"/>
              </w:rPr>
              <w:t>1P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_</w:t>
            </w:r>
            <w:r w:rsidR="006D3C46">
              <w:rPr>
                <w:rFonts w:ascii="Cambria" w:hAnsi="Cambria" w:cs="Cambria"/>
                <w:sz w:val="24"/>
                <w:szCs w:val="24"/>
              </w:rPr>
              <w:t>U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0</w:t>
            </w:r>
            <w:r w:rsidR="006D3C46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705E05" w:rsidRPr="00094992">
        <w:trPr>
          <w:cantSplit/>
        </w:trPr>
        <w:tc>
          <w:tcPr>
            <w:tcW w:w="908" w:type="dxa"/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0</w:t>
            </w:r>
            <w:r w:rsidR="006D3C46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:rsidR="00705E05" w:rsidRPr="00A432A6" w:rsidRDefault="00705E05" w:rsidP="00381A29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Student wyjaśnia i uzasadnia formułowane przez siebie wnioski.</w:t>
            </w:r>
          </w:p>
        </w:tc>
        <w:tc>
          <w:tcPr>
            <w:tcW w:w="1400" w:type="dxa"/>
            <w:vAlign w:val="center"/>
          </w:tcPr>
          <w:p w:rsidR="00705E05" w:rsidRPr="00094992" w:rsidRDefault="00705E05" w:rsidP="00C86E3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K</w:t>
            </w:r>
            <w:r w:rsidR="006D3C46">
              <w:rPr>
                <w:rFonts w:ascii="Cambria" w:hAnsi="Cambria" w:cs="Cambria"/>
                <w:sz w:val="24"/>
                <w:szCs w:val="24"/>
              </w:rPr>
              <w:t>1P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_U</w:t>
            </w:r>
            <w:r w:rsidR="006D3C46">
              <w:rPr>
                <w:rFonts w:ascii="Cambria" w:hAnsi="Cambria" w:cs="Cambria"/>
                <w:sz w:val="24"/>
                <w:szCs w:val="24"/>
              </w:rPr>
              <w:t>08</w:t>
            </w:r>
          </w:p>
        </w:tc>
      </w:tr>
      <w:tr w:rsidR="006D3C46" w:rsidRPr="00094992" w:rsidTr="00A435E7">
        <w:trPr>
          <w:cantSplit/>
        </w:trPr>
        <w:tc>
          <w:tcPr>
            <w:tcW w:w="10008" w:type="dxa"/>
            <w:gridSpan w:val="6"/>
            <w:vAlign w:val="center"/>
          </w:tcPr>
          <w:p w:rsidR="006D3C46" w:rsidRPr="006D3C46" w:rsidRDefault="006D3C46" w:rsidP="006D3C46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705E05" w:rsidRPr="00094992">
        <w:trPr>
          <w:cantSplit/>
        </w:trPr>
        <w:tc>
          <w:tcPr>
            <w:tcW w:w="908" w:type="dxa"/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0</w:t>
            </w:r>
            <w:r w:rsidR="006D3C46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:rsidR="00705E05" w:rsidRPr="00A432A6" w:rsidRDefault="00705E05" w:rsidP="00381A29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Student krytycznie weryfikuje i przeformułowuje swoje stanowiska i sądy, mając świadomość złożoności problematyki badań nad odbiorem dzieła literackiego.</w:t>
            </w:r>
          </w:p>
        </w:tc>
        <w:tc>
          <w:tcPr>
            <w:tcW w:w="1400" w:type="dxa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K</w:t>
            </w:r>
            <w:r w:rsidR="006D3C46">
              <w:rPr>
                <w:rFonts w:ascii="Cambria" w:hAnsi="Cambria" w:cs="Cambria"/>
                <w:sz w:val="24"/>
                <w:szCs w:val="24"/>
              </w:rPr>
              <w:t>1P</w:t>
            </w:r>
            <w:r w:rsidRPr="00094992">
              <w:rPr>
                <w:rFonts w:ascii="Cambria" w:hAnsi="Cambria" w:cs="Cambria"/>
                <w:sz w:val="24"/>
                <w:szCs w:val="24"/>
              </w:rPr>
              <w:t>_K0</w:t>
            </w:r>
            <w:r w:rsidR="006D3C46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705E05" w:rsidRPr="00094992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tcBorders>
              <w:bottom w:val="single" w:sz="12" w:space="0" w:color="auto"/>
              <w:right w:val="nil"/>
            </w:tcBorders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705E05" w:rsidRPr="00A432A6" w:rsidRDefault="00705E05" w:rsidP="00A432A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:rsidR="00705E05" w:rsidRPr="00094992" w:rsidRDefault="00705E05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:rsidR="00705E05" w:rsidRPr="00094992" w:rsidRDefault="00705E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:rsidR="00705E05" w:rsidRPr="00094992" w:rsidRDefault="00705E05" w:rsidP="00902D6D">
            <w:pPr>
              <w:rPr>
                <w:rFonts w:ascii="Cambria" w:hAnsi="Cambria" w:cs="Cambria"/>
                <w:sz w:val="24"/>
                <w:szCs w:val="24"/>
              </w:rPr>
            </w:pP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Dzieło literackie w perspektywie komunikacyjnej;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Pojęcia odbioru, lektury i interpretacji literackiej;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Miejsce problematyki odbioru w badaniach literackich;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Lektura dzieła literackiego jako forma przeżycia estetycznego;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Odbiór dzieła literackiego a jego wartościowanie;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Typy stylów odbioru; lektura aktywna i pasywna;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Uwarunkowania komunikacji literackiej;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 xml:space="preserve">Prezentacja wybranych teorii </w:t>
            </w:r>
            <w:r w:rsidR="00DE018C" w:rsidRPr="00A432A6">
              <w:rPr>
                <w:rFonts w:ascii="Cambria" w:hAnsi="Cambria" w:cs="Cambria"/>
                <w:sz w:val="22"/>
                <w:szCs w:val="22"/>
              </w:rPr>
              <w:t>interpretacji</w:t>
            </w:r>
            <w:r w:rsidRPr="00A432A6">
              <w:rPr>
                <w:rFonts w:ascii="Cambria" w:hAnsi="Cambria" w:cs="Cambria"/>
                <w:sz w:val="22"/>
                <w:szCs w:val="22"/>
              </w:rPr>
              <w:t>;</w:t>
            </w:r>
          </w:p>
          <w:p w:rsidR="00705E05" w:rsidRPr="00A432A6" w:rsidRDefault="00705E05" w:rsidP="00902D6D">
            <w:pPr>
              <w:rPr>
                <w:rFonts w:ascii="Cambria" w:hAnsi="Cambria" w:cs="Cambria"/>
                <w:sz w:val="22"/>
                <w:szCs w:val="22"/>
              </w:rPr>
            </w:pPr>
            <w:r w:rsidRPr="00A432A6">
              <w:rPr>
                <w:rFonts w:ascii="Cambria" w:hAnsi="Cambria" w:cs="Cambria"/>
                <w:sz w:val="22"/>
                <w:szCs w:val="22"/>
              </w:rPr>
              <w:t>Lektura jako temat utworów literackich – analiza wybranych przykładów.</w:t>
            </w:r>
          </w:p>
          <w:p w:rsidR="00705E05" w:rsidRPr="00094992" w:rsidRDefault="00705E05" w:rsidP="00902D6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:rsidR="00705E05" w:rsidRPr="00094992" w:rsidRDefault="00705E05">
            <w:pPr>
              <w:pStyle w:val="Nagwek1"/>
              <w:rPr>
                <w:rFonts w:ascii="Cambria" w:hAnsi="Cambria" w:cs="Cambria"/>
              </w:rPr>
            </w:pPr>
            <w:r w:rsidRPr="00094992">
              <w:rPr>
                <w:rFonts w:ascii="Cambria" w:hAnsi="Cambria" w:cs="Cambria"/>
              </w:rPr>
              <w:t>Laboratorium</w:t>
            </w: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:rsidR="00705E05" w:rsidRPr="00094992" w:rsidRDefault="00705E05">
            <w:pPr>
              <w:pStyle w:val="Nagwek1"/>
              <w:rPr>
                <w:rFonts w:ascii="Cambria" w:hAnsi="Cambria" w:cs="Cambria"/>
              </w:rPr>
            </w:pPr>
            <w:r w:rsidRPr="00094992">
              <w:rPr>
                <w:rFonts w:ascii="Cambria" w:hAnsi="Cambria" w:cs="Cambria"/>
              </w:rPr>
              <w:t>Projekt</w:t>
            </w:r>
          </w:p>
        </w:tc>
      </w:tr>
      <w:tr w:rsidR="00705E05" w:rsidRPr="00094992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705E05" w:rsidRPr="00094992">
        <w:tc>
          <w:tcPr>
            <w:tcW w:w="2448" w:type="dxa"/>
            <w:gridSpan w:val="3"/>
            <w:tcBorders>
              <w:top w:val="single" w:sz="12" w:space="0" w:color="auto"/>
            </w:tcBorders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</w:tcBorders>
          </w:tcPr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H. Markiewicz, </w:t>
            </w:r>
            <w:r w:rsidRPr="00A432A6">
              <w:rPr>
                <w:rFonts w:ascii="Cambria" w:hAnsi="Cambria" w:cs="Cambria"/>
                <w:i/>
                <w:iCs/>
              </w:rPr>
              <w:t>Odbiór i odbiorca w badaniach literackich</w:t>
            </w:r>
            <w:r w:rsidRPr="00A432A6">
              <w:rPr>
                <w:rFonts w:ascii="Cambria" w:hAnsi="Cambria" w:cs="Cambria"/>
              </w:rPr>
              <w:t xml:space="preserve">, w: </w:t>
            </w:r>
            <w:r w:rsidRPr="00A432A6">
              <w:rPr>
                <w:rFonts w:ascii="Cambria" w:hAnsi="Cambria" w:cs="Cambria"/>
                <w:i/>
                <w:iCs/>
              </w:rPr>
              <w:t>Wymiary dzieła literackiego</w:t>
            </w:r>
            <w:r w:rsidRPr="00A432A6">
              <w:rPr>
                <w:rFonts w:ascii="Cambria" w:hAnsi="Cambria" w:cs="Cambria"/>
              </w:rPr>
              <w:t>, Kraków 1984.</w:t>
            </w:r>
          </w:p>
          <w:p w:rsidR="00705E05" w:rsidRPr="00A432A6" w:rsidRDefault="00705E05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  <w:i/>
                <w:iCs/>
              </w:rPr>
              <w:t>Problemy odbioru i odbiorcy</w:t>
            </w:r>
            <w:r w:rsidRPr="00A432A6">
              <w:rPr>
                <w:rFonts w:ascii="Cambria" w:hAnsi="Cambria" w:cs="Cambria"/>
              </w:rPr>
              <w:t>, pod red. T. Bujnickiego i J. Sławińskiego, Wrocław 1977.</w:t>
            </w:r>
          </w:p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J. Sławiński, </w:t>
            </w:r>
            <w:r w:rsidRPr="00A432A6">
              <w:rPr>
                <w:rFonts w:ascii="Cambria" w:hAnsi="Cambria" w:cs="Cambria"/>
                <w:i/>
                <w:iCs/>
              </w:rPr>
              <w:t>Miejsce interpretacji</w:t>
            </w:r>
            <w:r w:rsidRPr="00A432A6">
              <w:rPr>
                <w:rFonts w:ascii="Cambria" w:hAnsi="Cambria" w:cs="Cambria"/>
              </w:rPr>
              <w:t>, Gdańsk 2006.</w:t>
            </w:r>
          </w:p>
        </w:tc>
      </w:tr>
      <w:tr w:rsidR="00705E05" w:rsidRPr="00094992">
        <w:tc>
          <w:tcPr>
            <w:tcW w:w="2448" w:type="dxa"/>
            <w:gridSpan w:val="3"/>
          </w:tcPr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:rsidR="00705E05" w:rsidRPr="00094992" w:rsidRDefault="00705E0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3"/>
          </w:tcPr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R. Barthes, </w:t>
            </w:r>
            <w:r w:rsidRPr="00A432A6">
              <w:rPr>
                <w:rFonts w:ascii="Cambria" w:hAnsi="Cambria" w:cs="Cambria"/>
                <w:i/>
                <w:iCs/>
              </w:rPr>
              <w:t>Przyjemność tekstu</w:t>
            </w:r>
            <w:r w:rsidRPr="00A432A6">
              <w:rPr>
                <w:rFonts w:ascii="Cambria" w:hAnsi="Cambria" w:cs="Cambria"/>
              </w:rPr>
              <w:t>, przeł. A. Lewańska, Warszawa 1997.</w:t>
            </w:r>
          </w:p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R. Barthes, </w:t>
            </w:r>
            <w:r w:rsidRPr="00A432A6">
              <w:rPr>
                <w:rFonts w:ascii="Cambria" w:hAnsi="Cambria" w:cs="Cambria"/>
                <w:i/>
                <w:iCs/>
              </w:rPr>
              <w:t>S/Z</w:t>
            </w:r>
            <w:r w:rsidRPr="00A432A6">
              <w:rPr>
                <w:rFonts w:ascii="Cambria" w:hAnsi="Cambria" w:cs="Cambria"/>
              </w:rPr>
              <w:t>, przeł. M. P. Markowski, Warszawa 1999.</w:t>
            </w:r>
          </w:p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P. Bayard, </w:t>
            </w:r>
            <w:r w:rsidRPr="00A432A6">
              <w:rPr>
                <w:rFonts w:ascii="Cambria" w:hAnsi="Cambria" w:cs="Cambria"/>
                <w:i/>
                <w:iCs/>
              </w:rPr>
              <w:t>Rodzaje nieczytania</w:t>
            </w:r>
            <w:r w:rsidRPr="00A432A6">
              <w:rPr>
                <w:rFonts w:ascii="Cambria" w:hAnsi="Cambria" w:cs="Cambria"/>
              </w:rPr>
              <w:t xml:space="preserve">, w: </w:t>
            </w:r>
            <w:r w:rsidRPr="00A432A6">
              <w:rPr>
                <w:rFonts w:ascii="Cambria" w:hAnsi="Cambria" w:cs="Cambria"/>
                <w:i/>
                <w:iCs/>
              </w:rPr>
              <w:t>Jak rozmawiać o książkach, których się nie czytało</w:t>
            </w:r>
            <w:r w:rsidRPr="00A432A6">
              <w:rPr>
                <w:rFonts w:ascii="Cambria" w:hAnsi="Cambria" w:cs="Cambria"/>
              </w:rPr>
              <w:t>, przeł. M. Kowalska, Warszawa 2008.</w:t>
            </w:r>
          </w:p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S. Fish, </w:t>
            </w:r>
            <w:r w:rsidRPr="00A432A6">
              <w:rPr>
                <w:rFonts w:ascii="Cambria" w:hAnsi="Cambria" w:cs="Cambria"/>
                <w:i/>
                <w:iCs/>
              </w:rPr>
              <w:t>Interpretacja, retoryka, polityka. Eseje wybrane</w:t>
            </w:r>
            <w:r w:rsidRPr="00A432A6">
              <w:rPr>
                <w:rFonts w:ascii="Cambria" w:hAnsi="Cambria" w:cs="Cambria"/>
              </w:rPr>
              <w:t xml:space="preserve">, Kraków 2002 (rozdz. </w:t>
            </w:r>
            <w:r w:rsidRPr="00A432A6">
              <w:rPr>
                <w:rFonts w:ascii="Cambria" w:hAnsi="Cambria" w:cs="Cambria"/>
                <w:i/>
                <w:iCs/>
              </w:rPr>
              <w:t>Co czyni interpretację możliwą do przyjęcia?</w:t>
            </w:r>
            <w:r w:rsidRPr="00A432A6">
              <w:rPr>
                <w:rFonts w:ascii="Cambria" w:hAnsi="Cambria" w:cs="Cambria"/>
              </w:rPr>
              <w:t xml:space="preserve"> oraz </w:t>
            </w:r>
            <w:r w:rsidRPr="00A432A6">
              <w:rPr>
                <w:rFonts w:ascii="Cambria" w:hAnsi="Cambria" w:cs="Cambria"/>
                <w:i/>
                <w:iCs/>
              </w:rPr>
              <w:t>Dowodzenie vs perswazja: dwa modele krytycznej działalności</w:t>
            </w:r>
            <w:r w:rsidRPr="00A432A6">
              <w:rPr>
                <w:rFonts w:ascii="Cambria" w:hAnsi="Cambria" w:cs="Cambria"/>
              </w:rPr>
              <w:t>).</w:t>
            </w:r>
          </w:p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Głowiński M., </w:t>
            </w:r>
            <w:r w:rsidRPr="00A432A6">
              <w:rPr>
                <w:rStyle w:val="Uwydatnienie"/>
                <w:rFonts w:ascii="Cambria" w:hAnsi="Cambria" w:cs="Cambria"/>
              </w:rPr>
              <w:t>Świadectwa i style odbioru</w:t>
            </w:r>
            <w:r w:rsidRPr="00A432A6">
              <w:rPr>
                <w:rFonts w:ascii="Cambria" w:hAnsi="Cambria" w:cs="Cambria"/>
              </w:rPr>
              <w:t xml:space="preserve"> [w:] tegoż, </w:t>
            </w:r>
            <w:r w:rsidRPr="00A432A6">
              <w:rPr>
                <w:rStyle w:val="Uwydatnienie"/>
                <w:rFonts w:ascii="Cambria" w:hAnsi="Cambria" w:cs="Cambria"/>
              </w:rPr>
              <w:t>Style odbioru. Szkice o komunikacji literackiej</w:t>
            </w:r>
            <w:r w:rsidRPr="00A432A6">
              <w:rPr>
                <w:rFonts w:ascii="Cambria" w:hAnsi="Cambria" w:cs="Cambria"/>
              </w:rPr>
              <w:t>, Kraków 1977.</w:t>
            </w:r>
          </w:p>
          <w:p w:rsidR="00705E05" w:rsidRPr="00A432A6" w:rsidRDefault="00705E05" w:rsidP="00FF0F93">
            <w:pPr>
              <w:jc w:val="both"/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W. Iser, </w:t>
            </w:r>
            <w:r w:rsidRPr="00A432A6">
              <w:rPr>
                <w:rFonts w:ascii="Cambria" w:hAnsi="Cambria" w:cs="Cambria"/>
                <w:i/>
                <w:iCs/>
              </w:rPr>
              <w:t>Apelacyjna struktura tekstów</w:t>
            </w:r>
            <w:r w:rsidRPr="00A432A6">
              <w:rPr>
                <w:rFonts w:ascii="Cambria" w:hAnsi="Cambria" w:cs="Cambria"/>
              </w:rPr>
              <w:t xml:space="preserve">, przeł. W. Bialik, W: </w:t>
            </w:r>
            <w:r w:rsidRPr="00A432A6">
              <w:rPr>
                <w:rFonts w:ascii="Cambria" w:hAnsi="Cambria" w:cs="Cambria"/>
                <w:i/>
                <w:iCs/>
              </w:rPr>
              <w:t>Współczesna myśl literaturoznawcza w RFN. Antologia</w:t>
            </w:r>
            <w:r w:rsidRPr="00A432A6">
              <w:rPr>
                <w:rFonts w:ascii="Cambria" w:hAnsi="Cambria" w:cs="Cambria"/>
              </w:rPr>
              <w:t xml:space="preserve">, wybór i wstęp H. Orłowski, Warszawa 1986 lub W: </w:t>
            </w:r>
            <w:r w:rsidRPr="00A432A6">
              <w:rPr>
                <w:rFonts w:ascii="Cambria" w:hAnsi="Cambria" w:cs="Cambria"/>
                <w:i/>
                <w:iCs/>
              </w:rPr>
              <w:t>Teorie Literatury XX wieku. Antologia</w:t>
            </w:r>
            <w:r w:rsidRPr="00A432A6">
              <w:rPr>
                <w:rFonts w:ascii="Cambria" w:hAnsi="Cambria" w:cs="Cambria"/>
              </w:rPr>
              <w:t>, pod red. A. Burzyńskiej i M. P. Markowskiego, red. T. Michałowska i in., Kraków 2006.</w:t>
            </w:r>
          </w:p>
          <w:p w:rsidR="00705E05" w:rsidRPr="00A432A6" w:rsidRDefault="00705E05" w:rsidP="00FF0F93">
            <w:pPr>
              <w:jc w:val="both"/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H. Markiewicz, </w:t>
            </w:r>
            <w:r w:rsidRPr="00A432A6">
              <w:rPr>
                <w:rFonts w:ascii="Cambria" w:hAnsi="Cambria" w:cs="Cambria"/>
                <w:i/>
                <w:iCs/>
              </w:rPr>
              <w:t>O falsyfikowaniu interpretacji literaturoznawczych</w:t>
            </w:r>
            <w:r w:rsidRPr="00A432A6">
              <w:rPr>
                <w:rFonts w:ascii="Cambria" w:hAnsi="Cambria" w:cs="Cambria"/>
              </w:rPr>
              <w:t xml:space="preserve">, W: </w:t>
            </w:r>
            <w:r w:rsidRPr="00A432A6">
              <w:rPr>
                <w:rFonts w:ascii="Cambria" w:hAnsi="Cambria" w:cs="Cambria"/>
                <w:i/>
                <w:iCs/>
              </w:rPr>
              <w:t>Wiedza o literaturze i edukacja. Księga referatów Zjazdu Polonistów</w:t>
            </w:r>
            <w:r w:rsidRPr="00A432A6">
              <w:rPr>
                <w:rFonts w:ascii="Cambria" w:hAnsi="Cambria" w:cs="Cambria"/>
              </w:rPr>
              <w:t>, Warszawa 1995.</w:t>
            </w:r>
          </w:p>
          <w:p w:rsidR="00705E05" w:rsidRPr="00A432A6" w:rsidRDefault="00705E05" w:rsidP="00FF0F93">
            <w:pPr>
              <w:jc w:val="both"/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 </w:t>
            </w:r>
            <w:r w:rsidRPr="00A432A6">
              <w:rPr>
                <w:rFonts w:ascii="Cambria" w:hAnsi="Cambria" w:cs="Cambria"/>
                <w:i/>
                <w:iCs/>
              </w:rPr>
              <w:t>O wartościowaniu w badaniach literackich</w:t>
            </w:r>
            <w:r w:rsidRPr="00A432A6">
              <w:rPr>
                <w:rFonts w:ascii="Cambria" w:hAnsi="Cambria" w:cs="Cambria"/>
              </w:rPr>
              <w:t>, red. W. Panas, S. Sawicki, Lublin 1986.</w:t>
            </w:r>
          </w:p>
          <w:p w:rsidR="00705E05" w:rsidRPr="00A432A6" w:rsidRDefault="00705E05" w:rsidP="00FF0F93">
            <w:pPr>
              <w:jc w:val="both"/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P. Ricoeur, </w:t>
            </w:r>
            <w:r w:rsidRPr="00A432A6">
              <w:rPr>
                <w:rFonts w:ascii="Cambria" w:hAnsi="Cambria" w:cs="Cambria"/>
                <w:i/>
                <w:iCs/>
              </w:rPr>
              <w:t>Konflikt hermeneutyk: epistemologia interpretacji</w:t>
            </w:r>
            <w:r w:rsidRPr="00A432A6">
              <w:rPr>
                <w:rFonts w:ascii="Cambria" w:hAnsi="Cambria" w:cs="Cambria"/>
              </w:rPr>
              <w:t xml:space="preserve">, w: </w:t>
            </w:r>
            <w:r w:rsidRPr="00A432A6">
              <w:rPr>
                <w:rFonts w:ascii="Cambria" w:hAnsi="Cambria" w:cs="Cambria"/>
                <w:i/>
                <w:iCs/>
              </w:rPr>
              <w:t>Egzystencja i hermeneutyka. Rozprawy o metodzie</w:t>
            </w:r>
            <w:r w:rsidRPr="00A432A6">
              <w:rPr>
                <w:rFonts w:ascii="Cambria" w:hAnsi="Cambria" w:cs="Cambria"/>
              </w:rPr>
              <w:t>, przeł. E. Bieńkowska i in., wybór i oprac. S. Cichowicz, Warszawa 1985.</w:t>
            </w:r>
          </w:p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E. Staiger, </w:t>
            </w:r>
            <w:r w:rsidRPr="00A432A6">
              <w:rPr>
                <w:rFonts w:ascii="Cambria" w:hAnsi="Cambria" w:cs="Cambria"/>
                <w:i/>
                <w:iCs/>
              </w:rPr>
              <w:t>Sztuka interpretacji</w:t>
            </w:r>
            <w:r w:rsidRPr="00A432A6">
              <w:rPr>
                <w:rFonts w:ascii="Cambria" w:hAnsi="Cambria" w:cs="Cambria"/>
              </w:rPr>
              <w:t xml:space="preserve">, przeł. O. Dobijanka-Witczakowa, W: </w:t>
            </w:r>
            <w:r w:rsidRPr="00A432A6">
              <w:rPr>
                <w:rFonts w:ascii="Cambria" w:hAnsi="Cambria" w:cs="Cambria"/>
                <w:i/>
                <w:iCs/>
              </w:rPr>
              <w:t>Współczesna teoria badań literackich za granicą</w:t>
            </w:r>
            <w:r w:rsidRPr="00A432A6">
              <w:rPr>
                <w:rFonts w:ascii="Cambria" w:hAnsi="Cambria" w:cs="Cambria"/>
              </w:rPr>
              <w:t>, T. 1, oprac. H. Markiewicz Wrocław 1976.</w:t>
            </w:r>
          </w:p>
          <w:p w:rsidR="00705E05" w:rsidRPr="00A432A6" w:rsidRDefault="00705E05" w:rsidP="00FF0F93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A. Szahaj, </w:t>
            </w:r>
            <w:r w:rsidRPr="00A432A6">
              <w:rPr>
                <w:rFonts w:ascii="Cambria" w:hAnsi="Cambria" w:cs="Cambria"/>
                <w:i/>
                <w:iCs/>
              </w:rPr>
              <w:t>Granice anarchizmu interpretacyjnego</w:t>
            </w:r>
            <w:r w:rsidRPr="00A432A6">
              <w:rPr>
                <w:rFonts w:ascii="Cambria" w:hAnsi="Cambria" w:cs="Cambria"/>
              </w:rPr>
              <w:t>, „Teksty Drugie” 1997, nr oraz dyskusja opublikowana w tym numerze pisma.</w:t>
            </w:r>
          </w:p>
          <w:p w:rsidR="00705E05" w:rsidRPr="00A432A6" w:rsidRDefault="00705E05" w:rsidP="005F5F7D">
            <w:pPr>
              <w:jc w:val="both"/>
              <w:rPr>
                <w:rFonts w:ascii="Cambria" w:hAnsi="Cambria" w:cs="Cambria"/>
              </w:rPr>
            </w:pPr>
          </w:p>
          <w:p w:rsidR="00705E05" w:rsidRPr="00A432A6" w:rsidRDefault="00705E05" w:rsidP="005F5F7D">
            <w:pPr>
              <w:jc w:val="both"/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>Uwaga: Prowadzący zastrzega sobie możliwość wprowadzenia innych lektur jako kontekstu do interpretacji wybranego zagadnienia lub tekstu.</w:t>
            </w:r>
          </w:p>
        </w:tc>
      </w:tr>
      <w:tr w:rsidR="00705E05" w:rsidRPr="00094992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705E05" w:rsidRPr="00A432A6" w:rsidRDefault="00705E05" w:rsidP="00E47935">
            <w:pPr>
              <w:rPr>
                <w:rFonts w:ascii="Cambria" w:hAnsi="Cambria" w:cs="Cambria"/>
              </w:rPr>
            </w:pPr>
          </w:p>
          <w:p w:rsidR="00705E05" w:rsidRPr="00A432A6" w:rsidRDefault="00705E05" w:rsidP="00E47935">
            <w:pPr>
              <w:rPr>
                <w:rFonts w:ascii="Cambria" w:hAnsi="Cambria" w:cs="Cambria"/>
              </w:rPr>
            </w:pPr>
            <w:r w:rsidRPr="00A432A6">
              <w:rPr>
                <w:rFonts w:ascii="Cambria" w:hAnsi="Cambria" w:cs="Cambria"/>
              </w:rPr>
              <w:t xml:space="preserve">ćwiczenia audytoryjne: analiza tekstów z dyskusją/ analiza zdarzeń krytycznych (przypadków) / </w:t>
            </w:r>
          </w:p>
          <w:p w:rsidR="00705E05" w:rsidRPr="00A432A6" w:rsidRDefault="00705E05" w:rsidP="00E47935">
            <w:pPr>
              <w:rPr>
                <w:rFonts w:ascii="Cambria" w:hAnsi="Cambria" w:cs="Cambria"/>
              </w:rPr>
            </w:pPr>
          </w:p>
        </w:tc>
      </w:tr>
      <w:tr w:rsidR="00705E05" w:rsidRPr="0009499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05E05" w:rsidRPr="00094992" w:rsidRDefault="00705E0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 xml:space="preserve">Metody weryfikacji efektów </w:t>
            </w:r>
            <w:r w:rsidR="006D3C46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05E05" w:rsidRPr="00094992" w:rsidRDefault="00230C4E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230C4E">
              <w:rPr>
                <w:sz w:val="22"/>
                <w:szCs w:val="22"/>
              </w:rPr>
              <w:t>Nr efektu uczenia się/ grupy efektów</w:t>
            </w:r>
          </w:p>
        </w:tc>
      </w:tr>
      <w:tr w:rsidR="00705E05" w:rsidRPr="0009499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bottom w:val="single" w:sz="2" w:space="0" w:color="auto"/>
            </w:tcBorders>
          </w:tcPr>
          <w:p w:rsidR="00705E05" w:rsidRPr="00094992" w:rsidRDefault="00705E05" w:rsidP="00D25E6E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705E05" w:rsidRPr="00094992" w:rsidRDefault="00705E05" w:rsidP="00D25E6E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>Kolokwium</w:t>
            </w:r>
          </w:p>
        </w:tc>
        <w:tc>
          <w:tcPr>
            <w:tcW w:w="1800" w:type="dxa"/>
            <w:gridSpan w:val="2"/>
            <w:tcBorders>
              <w:bottom w:val="single" w:sz="2" w:space="0" w:color="auto"/>
            </w:tcBorders>
          </w:tcPr>
          <w:p w:rsidR="00705E05" w:rsidRPr="00094992" w:rsidRDefault="00705E05" w:rsidP="00652CD8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 xml:space="preserve">01  02   03  04  05   </w:t>
            </w:r>
          </w:p>
        </w:tc>
      </w:tr>
      <w:tr w:rsidR="00705E05" w:rsidRPr="00094992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>Wypowiedzi ustne studentów podczas zajęć</w:t>
            </w:r>
          </w:p>
        </w:tc>
        <w:tc>
          <w:tcPr>
            <w:tcW w:w="1800" w:type="dxa"/>
            <w:gridSpan w:val="2"/>
          </w:tcPr>
          <w:p w:rsidR="00705E05" w:rsidRPr="00094992" w:rsidRDefault="00705E05" w:rsidP="00652CD8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 xml:space="preserve">01  02   03  04  05  06  </w:t>
            </w:r>
          </w:p>
        </w:tc>
      </w:tr>
      <w:tr w:rsidR="00705E05" w:rsidRPr="0009499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>Forma i warunki zaliczeni</w:t>
            </w:r>
            <w:r w:rsidR="00A432A6">
              <w:rPr>
                <w:rFonts w:ascii="Cambria" w:hAnsi="Cambria" w:cs="Cambria"/>
                <w:sz w:val="22"/>
                <w:szCs w:val="22"/>
              </w:rPr>
              <w:t>a</w:t>
            </w:r>
          </w:p>
        </w:tc>
        <w:tc>
          <w:tcPr>
            <w:tcW w:w="760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705E05" w:rsidRPr="00094992" w:rsidRDefault="006D3C46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ZO</w:t>
            </w:r>
          </w:p>
          <w:p w:rsidR="00705E05" w:rsidRPr="00094992" w:rsidRDefault="00705E05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 xml:space="preserve">Kolokwium </w:t>
            </w:r>
          </w:p>
          <w:p w:rsidR="00705E05" w:rsidRPr="00094992" w:rsidRDefault="00705E05" w:rsidP="00652CD8">
            <w:pPr>
              <w:rPr>
                <w:rFonts w:ascii="Cambria" w:hAnsi="Cambria" w:cs="Cambria"/>
                <w:sz w:val="22"/>
                <w:szCs w:val="22"/>
              </w:rPr>
            </w:pPr>
            <w:r w:rsidRPr="00094992">
              <w:rPr>
                <w:rFonts w:ascii="Cambria" w:hAnsi="Cambria" w:cs="Cambria"/>
                <w:sz w:val="22"/>
                <w:szCs w:val="22"/>
              </w:rPr>
              <w:t>Aktywna postawa podczas zajęć</w:t>
            </w:r>
          </w:p>
        </w:tc>
      </w:tr>
    </w:tbl>
    <w:p w:rsidR="00705E05" w:rsidRDefault="00705E05">
      <w:pPr>
        <w:rPr>
          <w:rFonts w:ascii="Cambria" w:hAnsi="Cambria" w:cs="Cambria"/>
          <w:sz w:val="24"/>
          <w:szCs w:val="24"/>
        </w:rPr>
      </w:pPr>
    </w:p>
    <w:p w:rsidR="00230C4E" w:rsidRDefault="00230C4E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230C4E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230C4E" w:rsidRPr="004E4867" w:rsidRDefault="00230C4E" w:rsidP="00E6595D">
            <w:pPr>
              <w:jc w:val="center"/>
              <w:rPr>
                <w:b/>
              </w:rPr>
            </w:pPr>
          </w:p>
          <w:p w:rsidR="00230C4E" w:rsidRPr="004E4867" w:rsidRDefault="00230C4E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230C4E" w:rsidRPr="004E4867" w:rsidRDefault="00230C4E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230C4E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230C4E" w:rsidRPr="004E4867" w:rsidRDefault="00230C4E" w:rsidP="00E6595D">
            <w:pPr>
              <w:jc w:val="center"/>
              <w:rPr>
                <w:sz w:val="24"/>
                <w:szCs w:val="24"/>
              </w:rPr>
            </w:pPr>
          </w:p>
          <w:p w:rsidR="00230C4E" w:rsidRPr="004E4867" w:rsidRDefault="00230C4E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230C4E" w:rsidRPr="004E4867" w:rsidRDefault="00230C4E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  <w:vMerge/>
          </w:tcPr>
          <w:p w:rsidR="00230C4E" w:rsidRPr="004E4867" w:rsidRDefault="00230C4E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30C4E" w:rsidRPr="004E4867" w:rsidRDefault="00230C4E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230C4E" w:rsidRPr="004E4867" w:rsidRDefault="00230C4E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230C4E" w:rsidRPr="004E4867" w:rsidRDefault="00230C4E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230C4E" w:rsidRPr="004E4867" w:rsidRDefault="00230C4E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230C4E" w:rsidRPr="004E4867" w:rsidRDefault="00230C4E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230C4E" w:rsidRPr="004E4867" w:rsidRDefault="00230C4E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  <w:r w:rsidR="00BD43FC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94992">
              <w:rPr>
                <w:rFonts w:ascii="Cambria" w:hAnsi="Cambria" w:cs="Cambria"/>
                <w:sz w:val="24"/>
                <w:szCs w:val="24"/>
              </w:rPr>
              <w:t>1</w:t>
            </w:r>
            <w:r>
              <w:rPr>
                <w:rFonts w:ascii="Cambria" w:hAnsi="Cambria" w:cs="Cambria"/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230C4E" w:rsidRPr="00094992" w:rsidRDefault="00BD43FC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230C4E" w:rsidRPr="00094992" w:rsidRDefault="00BD43FC" w:rsidP="00BD43F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230C4E" w:rsidRPr="00094992" w:rsidRDefault="00BD43FC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230C4E" w:rsidRPr="00094992" w:rsidRDefault="00BD43FC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</w:tcPr>
          <w:p w:rsidR="00230C4E" w:rsidRPr="004E4867" w:rsidRDefault="00230C4E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230C4E" w:rsidRPr="00094992" w:rsidRDefault="00230C4E" w:rsidP="00E6595D">
            <w:pPr>
              <w:spacing w:line="36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5</w:t>
            </w:r>
            <w:r w:rsidR="00BD43FC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230C4E" w:rsidRPr="00094992" w:rsidRDefault="00BD43FC" w:rsidP="00E6595D">
            <w:pPr>
              <w:spacing w:line="36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25</w:t>
            </w:r>
          </w:p>
        </w:tc>
      </w:tr>
      <w:tr w:rsidR="00230C4E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230C4E" w:rsidRPr="004E4867" w:rsidRDefault="00230C4E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230C4E" w:rsidRPr="004E4867" w:rsidRDefault="00230C4E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230C4E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230C4E" w:rsidRPr="004E4867" w:rsidRDefault="00230C4E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230C4E" w:rsidRPr="00094992" w:rsidRDefault="00230C4E" w:rsidP="00E6595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94992">
              <w:rPr>
                <w:rFonts w:ascii="Cambria" w:hAnsi="Cambria" w:cs="Cambria"/>
                <w:b/>
                <w:bCs/>
                <w:sz w:val="24"/>
                <w:szCs w:val="24"/>
              </w:rPr>
              <w:t>2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(LITERATUROZNAWSTWO)</w:t>
            </w: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230C4E" w:rsidRPr="004E4867" w:rsidRDefault="00230C4E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230C4E" w:rsidRPr="00094992" w:rsidRDefault="00BD43FC" w:rsidP="00E6595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</w:t>
            </w:r>
          </w:p>
        </w:tc>
      </w:tr>
      <w:tr w:rsidR="00230C4E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230C4E" w:rsidRPr="004E4867" w:rsidRDefault="00230C4E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230C4E" w:rsidRPr="005C204E" w:rsidRDefault="005C204E" w:rsidP="005C204E">
            <w:pPr>
              <w:jc w:val="center"/>
              <w:rPr>
                <w:rFonts w:ascii="Cambria" w:hAnsi="Cambria" w:cs="Cambria"/>
                <w:b/>
                <w:sz w:val="24"/>
                <w:szCs w:val="24"/>
              </w:rPr>
            </w:pPr>
            <w:r w:rsidRPr="005C204E">
              <w:rPr>
                <w:rFonts w:ascii="Cambria" w:hAnsi="Cambria" w:cs="Cambria"/>
                <w:b/>
                <w:sz w:val="24"/>
                <w:szCs w:val="24"/>
              </w:rPr>
              <w:t>1,3</w:t>
            </w:r>
          </w:p>
        </w:tc>
      </w:tr>
    </w:tbl>
    <w:p w:rsidR="00230C4E" w:rsidRPr="00094992" w:rsidRDefault="00230C4E">
      <w:pPr>
        <w:rPr>
          <w:rFonts w:ascii="Cambria" w:hAnsi="Cambria" w:cs="Cambria"/>
          <w:sz w:val="24"/>
          <w:szCs w:val="24"/>
        </w:rPr>
      </w:pPr>
    </w:p>
    <w:p w:rsidR="00705E05" w:rsidRPr="00094992" w:rsidRDefault="00705E05">
      <w:pPr>
        <w:rPr>
          <w:rFonts w:ascii="Cambria" w:hAnsi="Cambria" w:cs="Cambria"/>
          <w:sz w:val="24"/>
          <w:szCs w:val="24"/>
        </w:rPr>
      </w:pPr>
    </w:p>
    <w:p w:rsidR="00705E05" w:rsidRPr="00094992" w:rsidRDefault="00705E05">
      <w:pPr>
        <w:rPr>
          <w:rFonts w:ascii="Cambria" w:hAnsi="Cambria" w:cs="Cambria"/>
          <w:sz w:val="24"/>
          <w:szCs w:val="24"/>
        </w:rPr>
      </w:pPr>
    </w:p>
    <w:p w:rsidR="00705E05" w:rsidRPr="00094992" w:rsidRDefault="00705E05">
      <w:pPr>
        <w:pStyle w:val="Default"/>
        <w:rPr>
          <w:rFonts w:ascii="Cambria" w:hAnsi="Cambria" w:cs="Cambria"/>
        </w:rPr>
      </w:pPr>
    </w:p>
    <w:p w:rsidR="00705E05" w:rsidRPr="00094992" w:rsidRDefault="00705E05">
      <w:pPr>
        <w:pStyle w:val="Default"/>
        <w:rPr>
          <w:rFonts w:ascii="Cambria" w:hAnsi="Cambria" w:cs="Cambria"/>
        </w:rPr>
      </w:pPr>
    </w:p>
    <w:p w:rsidR="00705E05" w:rsidRPr="00094992" w:rsidRDefault="00705E05">
      <w:pPr>
        <w:pStyle w:val="Default"/>
        <w:rPr>
          <w:rFonts w:ascii="Cambria" w:hAnsi="Cambria" w:cs="Cambria"/>
        </w:rPr>
      </w:pPr>
    </w:p>
    <w:p w:rsidR="00705E05" w:rsidRPr="00094992" w:rsidRDefault="00705E05">
      <w:pPr>
        <w:pStyle w:val="Default"/>
        <w:rPr>
          <w:rFonts w:ascii="Cambria" w:hAnsi="Cambria" w:cs="Cambria"/>
        </w:rPr>
      </w:pPr>
    </w:p>
    <w:p w:rsidR="00705E05" w:rsidRPr="00094992" w:rsidRDefault="00705E05">
      <w:pPr>
        <w:pStyle w:val="Default"/>
        <w:rPr>
          <w:rFonts w:ascii="Cambria" w:hAnsi="Cambria" w:cs="Cambria"/>
        </w:rPr>
      </w:pPr>
    </w:p>
    <w:p w:rsidR="00705E05" w:rsidRPr="00094992" w:rsidRDefault="00705E05">
      <w:pPr>
        <w:pStyle w:val="Default"/>
        <w:rPr>
          <w:rFonts w:ascii="Cambria" w:hAnsi="Cambria" w:cs="Cambria"/>
        </w:rPr>
      </w:pPr>
    </w:p>
    <w:sectPr w:rsidR="00705E05" w:rsidRPr="00094992" w:rsidSect="00A432A6">
      <w:footerReference w:type="even" r:id="rId7"/>
      <w:footerReference w:type="default" r:id="rId8"/>
      <w:pgSz w:w="11906" w:h="16838"/>
      <w:pgMar w:top="709" w:right="709" w:bottom="70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27A" w:rsidRDefault="009A527A">
      <w:r>
        <w:separator/>
      </w:r>
    </w:p>
  </w:endnote>
  <w:endnote w:type="continuationSeparator" w:id="0">
    <w:p w:rsidR="009A527A" w:rsidRDefault="009A5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E05" w:rsidRDefault="00BF2A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5E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05E05" w:rsidRDefault="00705E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E05" w:rsidRDefault="00BF2A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5E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64C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05E05" w:rsidRDefault="00705E0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27A" w:rsidRDefault="009A527A">
      <w:r>
        <w:separator/>
      </w:r>
    </w:p>
  </w:footnote>
  <w:footnote w:type="continuationSeparator" w:id="0">
    <w:p w:rsidR="009A527A" w:rsidRDefault="009A5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18B7"/>
    <w:multiLevelType w:val="hybridMultilevel"/>
    <w:tmpl w:val="BFF24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0" w15:restartNumberingAfterBreak="0">
    <w:nsid w:val="28FF00AE"/>
    <w:multiLevelType w:val="hybridMultilevel"/>
    <w:tmpl w:val="06AAF1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75A56"/>
    <w:multiLevelType w:val="hybridMultilevel"/>
    <w:tmpl w:val="CA5A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C512525"/>
    <w:multiLevelType w:val="hybridMultilevel"/>
    <w:tmpl w:val="273ED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6"/>
  </w:num>
  <w:num w:numId="8">
    <w:abstractNumId w:val="0"/>
  </w:num>
  <w:num w:numId="9">
    <w:abstractNumId w:val="15"/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"/>
  </w:num>
  <w:num w:numId="15">
    <w:abstractNumId w:val="17"/>
  </w:num>
  <w:num w:numId="16">
    <w:abstractNumId w:val="6"/>
  </w:num>
  <w:num w:numId="17">
    <w:abstractNumId w:val="20"/>
  </w:num>
  <w:num w:numId="18">
    <w:abstractNumId w:val="19"/>
  </w:num>
  <w:num w:numId="19">
    <w:abstractNumId w:val="10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5AA9"/>
    <w:rsid w:val="00050D64"/>
    <w:rsid w:val="00054A4F"/>
    <w:rsid w:val="00056F97"/>
    <w:rsid w:val="0009065D"/>
    <w:rsid w:val="00094992"/>
    <w:rsid w:val="000F31D2"/>
    <w:rsid w:val="00141FD1"/>
    <w:rsid w:val="0015163E"/>
    <w:rsid w:val="001B2A35"/>
    <w:rsid w:val="001C2DDF"/>
    <w:rsid w:val="001F010F"/>
    <w:rsid w:val="00230C4E"/>
    <w:rsid w:val="0023179E"/>
    <w:rsid w:val="002354D6"/>
    <w:rsid w:val="0025466B"/>
    <w:rsid w:val="002635FE"/>
    <w:rsid w:val="00295838"/>
    <w:rsid w:val="002A2CBA"/>
    <w:rsid w:val="002B0BB4"/>
    <w:rsid w:val="002C195A"/>
    <w:rsid w:val="0036489A"/>
    <w:rsid w:val="00370E96"/>
    <w:rsid w:val="00381A29"/>
    <w:rsid w:val="003A0F48"/>
    <w:rsid w:val="003E6D31"/>
    <w:rsid w:val="003F1597"/>
    <w:rsid w:val="004154CB"/>
    <w:rsid w:val="004717FA"/>
    <w:rsid w:val="0049796F"/>
    <w:rsid w:val="004A44C6"/>
    <w:rsid w:val="004A5BC3"/>
    <w:rsid w:val="004C0BA3"/>
    <w:rsid w:val="00506F54"/>
    <w:rsid w:val="0052569A"/>
    <w:rsid w:val="00561E05"/>
    <w:rsid w:val="00570245"/>
    <w:rsid w:val="00584071"/>
    <w:rsid w:val="005C204E"/>
    <w:rsid w:val="005F5F7D"/>
    <w:rsid w:val="00652CD8"/>
    <w:rsid w:val="00657EAD"/>
    <w:rsid w:val="006908CA"/>
    <w:rsid w:val="006D3C46"/>
    <w:rsid w:val="00705E05"/>
    <w:rsid w:val="00707BFB"/>
    <w:rsid w:val="00716F76"/>
    <w:rsid w:val="00721A23"/>
    <w:rsid w:val="007261E8"/>
    <w:rsid w:val="007D09E6"/>
    <w:rsid w:val="007E4757"/>
    <w:rsid w:val="007F00C2"/>
    <w:rsid w:val="007F0A2C"/>
    <w:rsid w:val="007F3432"/>
    <w:rsid w:val="007F48D4"/>
    <w:rsid w:val="00822F62"/>
    <w:rsid w:val="008266B5"/>
    <w:rsid w:val="0084402B"/>
    <w:rsid w:val="00866E40"/>
    <w:rsid w:val="008827BE"/>
    <w:rsid w:val="00891143"/>
    <w:rsid w:val="00891FD6"/>
    <w:rsid w:val="008B1B4D"/>
    <w:rsid w:val="008E1F7C"/>
    <w:rsid w:val="009011C2"/>
    <w:rsid w:val="00902D6D"/>
    <w:rsid w:val="009504B8"/>
    <w:rsid w:val="00994C1B"/>
    <w:rsid w:val="009A527A"/>
    <w:rsid w:val="009C5AA7"/>
    <w:rsid w:val="00A37B48"/>
    <w:rsid w:val="00A432A6"/>
    <w:rsid w:val="00A85891"/>
    <w:rsid w:val="00A92120"/>
    <w:rsid w:val="00AA722F"/>
    <w:rsid w:val="00AB2539"/>
    <w:rsid w:val="00AB2AD4"/>
    <w:rsid w:val="00AB648D"/>
    <w:rsid w:val="00AE5CCF"/>
    <w:rsid w:val="00B04966"/>
    <w:rsid w:val="00B12DC9"/>
    <w:rsid w:val="00B37F8D"/>
    <w:rsid w:val="00B46E0F"/>
    <w:rsid w:val="00B54D85"/>
    <w:rsid w:val="00BC35A1"/>
    <w:rsid w:val="00BC6DF9"/>
    <w:rsid w:val="00BD3F60"/>
    <w:rsid w:val="00BD43FC"/>
    <w:rsid w:val="00BF0F94"/>
    <w:rsid w:val="00BF2AB7"/>
    <w:rsid w:val="00BF38AE"/>
    <w:rsid w:val="00C26D00"/>
    <w:rsid w:val="00C428E0"/>
    <w:rsid w:val="00C615AC"/>
    <w:rsid w:val="00C764CB"/>
    <w:rsid w:val="00C86E3B"/>
    <w:rsid w:val="00C95D69"/>
    <w:rsid w:val="00CD218F"/>
    <w:rsid w:val="00CD4A7F"/>
    <w:rsid w:val="00D2313B"/>
    <w:rsid w:val="00D25E6E"/>
    <w:rsid w:val="00D2749A"/>
    <w:rsid w:val="00D4132E"/>
    <w:rsid w:val="00D53DFD"/>
    <w:rsid w:val="00D64DE4"/>
    <w:rsid w:val="00D957CF"/>
    <w:rsid w:val="00DA5905"/>
    <w:rsid w:val="00DD062C"/>
    <w:rsid w:val="00DD2120"/>
    <w:rsid w:val="00DE018C"/>
    <w:rsid w:val="00DE781F"/>
    <w:rsid w:val="00E47935"/>
    <w:rsid w:val="00EB62DA"/>
    <w:rsid w:val="00ED3C91"/>
    <w:rsid w:val="00ED4107"/>
    <w:rsid w:val="00EE7EF2"/>
    <w:rsid w:val="00EF0FB2"/>
    <w:rsid w:val="00F160ED"/>
    <w:rsid w:val="00F2653E"/>
    <w:rsid w:val="00F928C1"/>
    <w:rsid w:val="00FF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B38FA5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749A"/>
  </w:style>
  <w:style w:type="paragraph" w:styleId="Nagwek1">
    <w:name w:val="heading 1"/>
    <w:basedOn w:val="Normalny"/>
    <w:next w:val="Normalny"/>
    <w:link w:val="Nagwek1Znak"/>
    <w:uiPriority w:val="99"/>
    <w:qFormat/>
    <w:rsid w:val="00D2749A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2749A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2749A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2749A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2749A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2749A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95E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495E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495E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495E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495E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495EB0"/>
    <w:rPr>
      <w:rFonts w:ascii="Calibri" w:eastAsia="Times New Roman" w:hAnsi="Calibri" w:cs="Times New Roman"/>
      <w:b/>
      <w:bCs/>
    </w:rPr>
  </w:style>
  <w:style w:type="paragraph" w:customStyle="1" w:styleId="Default">
    <w:name w:val="Default"/>
    <w:uiPriority w:val="99"/>
    <w:rsid w:val="00D2749A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2749A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rsid w:val="00495EB0"/>
    <w:rPr>
      <w:sz w:val="20"/>
      <w:szCs w:val="20"/>
    </w:rPr>
  </w:style>
  <w:style w:type="paragraph" w:styleId="NormalnyWeb">
    <w:name w:val="Normal (Web)"/>
    <w:basedOn w:val="Normalny"/>
    <w:uiPriority w:val="99"/>
    <w:rsid w:val="00D2749A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2749A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95EB0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2749A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495EB0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D2749A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link w:val="Tytu"/>
    <w:uiPriority w:val="10"/>
    <w:rsid w:val="00495EB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D2749A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D2749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495EB0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D2749A"/>
  </w:style>
  <w:style w:type="paragraph" w:styleId="Stopka">
    <w:name w:val="footer"/>
    <w:basedOn w:val="Normalny"/>
    <w:link w:val="StopkaZnak1"/>
    <w:uiPriority w:val="99"/>
    <w:rsid w:val="00D2749A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495EB0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D2749A"/>
  </w:style>
  <w:style w:type="paragraph" w:styleId="Podtytu">
    <w:name w:val="Subtitle"/>
    <w:basedOn w:val="Normalny"/>
    <w:link w:val="PodtytuZnak"/>
    <w:uiPriority w:val="99"/>
    <w:qFormat/>
    <w:rsid w:val="00D2749A"/>
    <w:rPr>
      <w:b/>
      <w:bCs/>
    </w:rPr>
  </w:style>
  <w:style w:type="character" w:customStyle="1" w:styleId="PodtytuZnak">
    <w:name w:val="Podtytuł Znak"/>
    <w:link w:val="Podtytu"/>
    <w:uiPriority w:val="11"/>
    <w:rsid w:val="00495EB0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D2749A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D2749A"/>
  </w:style>
  <w:style w:type="paragraph" w:styleId="HTML-wstpniesformatowany">
    <w:name w:val="HTML Preformatted"/>
    <w:basedOn w:val="Normalny"/>
    <w:link w:val="HTML-wstpniesformatowanyZnak"/>
    <w:uiPriority w:val="99"/>
    <w:rsid w:val="005840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584071"/>
    <w:rPr>
      <w:rFonts w:ascii="Courier New" w:hAnsi="Courier New" w:cs="Courier New"/>
    </w:rPr>
  </w:style>
  <w:style w:type="character" w:styleId="Uwydatnienie">
    <w:name w:val="Emphasis"/>
    <w:uiPriority w:val="99"/>
    <w:qFormat/>
    <w:rsid w:val="00FF0F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8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12</cp:revision>
  <cp:lastPrinted>2016-05-23T15:52:00Z</cp:lastPrinted>
  <dcterms:created xsi:type="dcterms:W3CDTF">2016-05-22T16:15:00Z</dcterms:created>
  <dcterms:modified xsi:type="dcterms:W3CDTF">2021-09-19T15:50:00Z</dcterms:modified>
</cp:coreProperties>
</file>